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19DE4935" w14:textId="0D499EB8" w:rsidR="00DA1DDC" w:rsidRDefault="00DA1DDC" w:rsidP="00DA1DDC">
      <w:pPr>
        <w:spacing w:line="360" w:lineRule="auto"/>
        <w:jc w:val="center"/>
        <w:rPr>
          <w:rFonts w:asciiTheme="majorBidi" w:hAnsiTheme="majorBidi"/>
          <w:b/>
          <w:bCs/>
          <w:sz w:val="28"/>
          <w:szCs w:val="28"/>
          <w:rtl/>
        </w:rPr>
      </w:pPr>
      <w:bookmarkStart w:id="0" w:name="Start"/>
      <w:bookmarkEnd w:id="0"/>
      <w:r w:rsidRPr="00DA1DDC">
        <w:rPr>
          <w:rFonts w:asciiTheme="majorBidi" w:hAnsiTheme="majorBidi" w:hint="cs"/>
          <w:b/>
          <w:bCs/>
          <w:sz w:val="28"/>
          <w:szCs w:val="28"/>
          <w:rtl/>
        </w:rPr>
        <w:t>קול קורא</w:t>
      </w:r>
      <w:r w:rsidRPr="00DA1DDC">
        <w:rPr>
          <w:rFonts w:asciiTheme="majorBidi" w:hAnsiTheme="majorBidi"/>
          <w:b/>
          <w:bCs/>
          <w:sz w:val="28"/>
          <w:szCs w:val="28"/>
          <w:rtl/>
        </w:rPr>
        <w:t xml:space="preserve"> </w:t>
      </w:r>
      <w:r w:rsidRPr="00DA1DDC">
        <w:rPr>
          <w:rFonts w:asciiTheme="majorBidi" w:hAnsiTheme="majorBidi" w:hint="cs"/>
          <w:b/>
          <w:bCs/>
          <w:sz w:val="28"/>
          <w:szCs w:val="28"/>
          <w:rtl/>
        </w:rPr>
        <w:t>58</w:t>
      </w:r>
      <w:r w:rsidRPr="00DA1DDC">
        <w:rPr>
          <w:rFonts w:asciiTheme="majorBidi" w:hAnsiTheme="majorBidi"/>
          <w:b/>
          <w:bCs/>
          <w:sz w:val="28"/>
          <w:szCs w:val="28"/>
          <w:rtl/>
        </w:rPr>
        <w:t>/201</w:t>
      </w:r>
      <w:r w:rsidRPr="00DA1DDC">
        <w:rPr>
          <w:rFonts w:asciiTheme="majorBidi" w:hAnsiTheme="majorBidi" w:hint="cs"/>
          <w:b/>
          <w:bCs/>
          <w:sz w:val="28"/>
          <w:szCs w:val="28"/>
          <w:rtl/>
        </w:rPr>
        <w:t>7</w:t>
      </w:r>
      <w:r>
        <w:rPr>
          <w:rFonts w:asciiTheme="majorBidi" w:hAnsiTheme="majorBidi" w:hint="cs"/>
          <w:b/>
          <w:bCs/>
          <w:sz w:val="28"/>
          <w:szCs w:val="28"/>
          <w:rtl/>
        </w:rPr>
        <w:t xml:space="preserve"> </w:t>
      </w:r>
      <w:r w:rsidRPr="00DA1DDC">
        <w:rPr>
          <w:rFonts w:asciiTheme="majorBidi" w:hAnsiTheme="majorBidi"/>
          <w:b/>
          <w:bCs/>
          <w:sz w:val="28"/>
          <w:szCs w:val="28"/>
          <w:rtl/>
        </w:rPr>
        <w:t>לקבלת החזרים תלויי ייצור ביודיזל</w:t>
      </w:r>
    </w:p>
    <w:p w14:paraId="08116E21" w14:textId="77777777" w:rsidR="00DA1DDC" w:rsidRDefault="00DA1DDC" w:rsidP="00DA1DDC">
      <w:pPr>
        <w:pStyle w:val="20"/>
        <w:spacing w:after="120" w:line="360" w:lineRule="auto"/>
        <w:rPr>
          <w:b w:val="0"/>
          <w:bCs w:val="0"/>
          <w:szCs w:val="24"/>
          <w:rtl/>
        </w:rPr>
      </w:pPr>
    </w:p>
    <w:p w14:paraId="4A503189" w14:textId="532F6111" w:rsidR="00DA1DDC" w:rsidRPr="00C719B7" w:rsidRDefault="00DA1DDC" w:rsidP="00C719B7">
      <w:pPr>
        <w:spacing w:line="360" w:lineRule="auto"/>
        <w:jc w:val="both"/>
        <w:rPr>
          <w:rFonts w:ascii="Sakkal Majalla" w:hAnsi="Sakkal Majalla"/>
          <w:szCs w:val="24"/>
        </w:rPr>
      </w:pPr>
      <w:r w:rsidRPr="00C719B7">
        <w:rPr>
          <w:rFonts w:hint="eastAsia"/>
          <w:szCs w:val="24"/>
          <w:rtl/>
        </w:rPr>
        <w:t>משרד</w:t>
      </w:r>
      <w:r w:rsidRPr="00C719B7">
        <w:rPr>
          <w:szCs w:val="24"/>
          <w:rtl/>
        </w:rPr>
        <w:t xml:space="preserve"> </w:t>
      </w:r>
      <w:r w:rsidRPr="00C719B7">
        <w:rPr>
          <w:rFonts w:hint="eastAsia"/>
          <w:szCs w:val="24"/>
          <w:rtl/>
        </w:rPr>
        <w:t>האנרגיה</w:t>
      </w:r>
      <w:r w:rsidRPr="00C719B7">
        <w:rPr>
          <w:szCs w:val="24"/>
          <w:rtl/>
        </w:rPr>
        <w:t xml:space="preserve"> </w:t>
      </w:r>
      <w:r w:rsidRPr="00C719B7">
        <w:rPr>
          <w:rFonts w:hint="cs"/>
          <w:b/>
          <w:bCs/>
          <w:szCs w:val="24"/>
          <w:rtl/>
        </w:rPr>
        <w:t xml:space="preserve">באמצעות </w:t>
      </w:r>
      <w:proofErr w:type="spellStart"/>
      <w:r w:rsidRPr="00C719B7">
        <w:rPr>
          <w:rFonts w:hint="cs"/>
          <w:b/>
          <w:bCs/>
          <w:szCs w:val="24"/>
          <w:rtl/>
        </w:rPr>
        <w:t>מינהל</w:t>
      </w:r>
      <w:proofErr w:type="spellEnd"/>
      <w:r w:rsidRPr="00C719B7">
        <w:rPr>
          <w:rFonts w:hint="cs"/>
          <w:b/>
          <w:bCs/>
          <w:szCs w:val="24"/>
          <w:rtl/>
        </w:rPr>
        <w:t xml:space="preserve"> הדלק והגז </w:t>
      </w:r>
      <w:r w:rsidR="00C719B7" w:rsidRPr="00C719B7">
        <w:rPr>
          <w:rFonts w:hint="cs"/>
          <w:szCs w:val="24"/>
          <w:rtl/>
        </w:rPr>
        <w:t>מפרסם בזאת קול קורא מס' 58/2017</w:t>
      </w:r>
      <w:r w:rsidRPr="00C719B7">
        <w:rPr>
          <w:szCs w:val="24"/>
          <w:rtl/>
        </w:rPr>
        <w:t xml:space="preserve"> </w:t>
      </w:r>
      <w:r w:rsidR="00C719B7" w:rsidRPr="00C719B7">
        <w:rPr>
          <w:rFonts w:hint="cs"/>
          <w:szCs w:val="24"/>
          <w:rtl/>
        </w:rPr>
        <w:t>לתמיכה</w:t>
      </w:r>
      <w:r w:rsidRPr="00C719B7">
        <w:rPr>
          <w:szCs w:val="24"/>
          <w:rtl/>
        </w:rPr>
        <w:t xml:space="preserve"> </w:t>
      </w:r>
      <w:r w:rsidRPr="00C719B7">
        <w:rPr>
          <w:rFonts w:hint="eastAsia"/>
          <w:szCs w:val="24"/>
          <w:rtl/>
        </w:rPr>
        <w:t>בייצור</w:t>
      </w:r>
      <w:r w:rsidRPr="00C719B7">
        <w:rPr>
          <w:szCs w:val="24"/>
          <w:rtl/>
        </w:rPr>
        <w:t xml:space="preserve"> </w:t>
      </w:r>
      <w:r w:rsidRPr="00C719B7">
        <w:rPr>
          <w:rFonts w:hint="eastAsia"/>
          <w:szCs w:val="24"/>
          <w:rtl/>
        </w:rPr>
        <w:t>ביודיזל</w:t>
      </w:r>
      <w:r w:rsidRPr="00C719B7">
        <w:rPr>
          <w:szCs w:val="24"/>
          <w:rtl/>
        </w:rPr>
        <w:t xml:space="preserve"> </w:t>
      </w:r>
      <w:r w:rsidRPr="00C719B7">
        <w:rPr>
          <w:rFonts w:hint="eastAsia"/>
          <w:szCs w:val="24"/>
          <w:rtl/>
        </w:rPr>
        <w:t>כמקור</w:t>
      </w:r>
      <w:r w:rsidRPr="00C719B7">
        <w:rPr>
          <w:szCs w:val="24"/>
          <w:rtl/>
        </w:rPr>
        <w:t xml:space="preserve"> </w:t>
      </w:r>
      <w:r w:rsidRPr="00C719B7">
        <w:rPr>
          <w:rFonts w:hint="eastAsia"/>
          <w:szCs w:val="24"/>
          <w:rtl/>
        </w:rPr>
        <w:t>אנרגיה</w:t>
      </w:r>
      <w:r w:rsidRPr="00C719B7">
        <w:rPr>
          <w:szCs w:val="24"/>
          <w:rtl/>
        </w:rPr>
        <w:t xml:space="preserve"> </w:t>
      </w:r>
      <w:r w:rsidRPr="00C719B7">
        <w:rPr>
          <w:rFonts w:hint="eastAsia"/>
          <w:szCs w:val="24"/>
          <w:rtl/>
        </w:rPr>
        <w:t>מתחדשת</w:t>
      </w:r>
      <w:r w:rsidRPr="00C719B7">
        <w:rPr>
          <w:szCs w:val="24"/>
          <w:rtl/>
        </w:rPr>
        <w:t xml:space="preserve">, </w:t>
      </w:r>
      <w:r w:rsidRPr="00C719B7">
        <w:rPr>
          <w:rFonts w:hint="eastAsia"/>
          <w:szCs w:val="24"/>
          <w:rtl/>
        </w:rPr>
        <w:t>באמצעות</w:t>
      </w:r>
      <w:r w:rsidRPr="00C719B7">
        <w:rPr>
          <w:szCs w:val="24"/>
          <w:rtl/>
        </w:rPr>
        <w:t xml:space="preserve"> </w:t>
      </w:r>
      <w:r w:rsidRPr="00C719B7">
        <w:rPr>
          <w:rFonts w:hint="eastAsia"/>
          <w:szCs w:val="24"/>
          <w:rtl/>
        </w:rPr>
        <w:t>תשלום</w:t>
      </w:r>
      <w:r w:rsidRPr="00C719B7">
        <w:rPr>
          <w:szCs w:val="24"/>
          <w:rtl/>
        </w:rPr>
        <w:t xml:space="preserve"> </w:t>
      </w:r>
      <w:r w:rsidRPr="00C719B7">
        <w:rPr>
          <w:rFonts w:hint="eastAsia"/>
          <w:szCs w:val="24"/>
          <w:rtl/>
        </w:rPr>
        <w:t>חלף</w:t>
      </w:r>
      <w:r w:rsidRPr="00C719B7">
        <w:rPr>
          <w:szCs w:val="24"/>
          <w:rtl/>
        </w:rPr>
        <w:t xml:space="preserve"> </w:t>
      </w:r>
      <w:r w:rsidRPr="00C719B7">
        <w:rPr>
          <w:rFonts w:hint="eastAsia"/>
          <w:szCs w:val="24"/>
          <w:rtl/>
        </w:rPr>
        <w:t>תשלומי</w:t>
      </w:r>
      <w:r w:rsidRPr="00C719B7">
        <w:rPr>
          <w:szCs w:val="24"/>
          <w:rtl/>
        </w:rPr>
        <w:t xml:space="preserve"> </w:t>
      </w:r>
      <w:r w:rsidRPr="00C719B7">
        <w:rPr>
          <w:rFonts w:hint="eastAsia"/>
          <w:szCs w:val="24"/>
          <w:rtl/>
        </w:rPr>
        <w:t>בלו</w:t>
      </w:r>
      <w:r w:rsidRPr="00C719B7">
        <w:rPr>
          <w:szCs w:val="24"/>
          <w:rtl/>
        </w:rPr>
        <w:t xml:space="preserve">. </w:t>
      </w:r>
      <w:r w:rsidRPr="00C719B7">
        <w:rPr>
          <w:rFonts w:hint="eastAsia"/>
          <w:szCs w:val="24"/>
          <w:rtl/>
        </w:rPr>
        <w:t>והכל</w:t>
      </w:r>
      <w:r w:rsidRPr="00C719B7">
        <w:rPr>
          <w:szCs w:val="24"/>
          <w:rtl/>
        </w:rPr>
        <w:t xml:space="preserve"> </w:t>
      </w:r>
      <w:r w:rsidRPr="00C719B7">
        <w:rPr>
          <w:rFonts w:hint="eastAsia"/>
          <w:szCs w:val="24"/>
          <w:rtl/>
        </w:rPr>
        <w:t>כמפורט</w:t>
      </w:r>
      <w:r w:rsidRPr="00C719B7">
        <w:rPr>
          <w:szCs w:val="24"/>
          <w:rtl/>
        </w:rPr>
        <w:t xml:space="preserve"> </w:t>
      </w:r>
      <w:r w:rsidRPr="00C719B7">
        <w:rPr>
          <w:rFonts w:hint="cs"/>
          <w:szCs w:val="24"/>
          <w:rtl/>
        </w:rPr>
        <w:t xml:space="preserve">במסמכי </w:t>
      </w:r>
      <w:r w:rsidR="00C719B7" w:rsidRPr="00C719B7">
        <w:rPr>
          <w:rFonts w:hint="cs"/>
          <w:szCs w:val="24"/>
          <w:rtl/>
        </w:rPr>
        <w:t>קול הקורא</w:t>
      </w:r>
      <w:r w:rsidRPr="00C719B7">
        <w:rPr>
          <w:rFonts w:hint="cs"/>
          <w:szCs w:val="24"/>
          <w:rtl/>
        </w:rPr>
        <w:t xml:space="preserve"> ונספחיו.</w:t>
      </w:r>
    </w:p>
    <w:p w14:paraId="1C1849C9" w14:textId="333D130C" w:rsidR="00DA1DDC" w:rsidRPr="00DA1DDC" w:rsidRDefault="00DA1DDC" w:rsidP="00DA1DDC">
      <w:pPr>
        <w:pStyle w:val="20"/>
        <w:spacing w:after="120" w:line="360" w:lineRule="auto"/>
        <w:rPr>
          <w:szCs w:val="24"/>
          <w:rtl/>
        </w:rPr>
      </w:pPr>
    </w:p>
    <w:p w14:paraId="0EB8D37F" w14:textId="77777777" w:rsidR="00DA1DDC" w:rsidRPr="00DA1DDC" w:rsidRDefault="00DA1DDC" w:rsidP="00DA1DDC">
      <w:pPr>
        <w:pStyle w:val="20"/>
        <w:spacing w:after="120" w:line="360" w:lineRule="auto"/>
        <w:rPr>
          <w:szCs w:val="24"/>
        </w:rPr>
      </w:pPr>
      <w:r w:rsidRPr="00DA1DDC">
        <w:rPr>
          <w:rFonts w:hint="eastAsia"/>
          <w:b w:val="0"/>
          <w:bCs w:val="0"/>
          <w:szCs w:val="24"/>
          <w:rtl/>
        </w:rPr>
        <w:t>ביודיזל</w:t>
      </w:r>
      <w:r w:rsidRPr="00DA1DDC">
        <w:rPr>
          <w:b w:val="0"/>
          <w:bCs w:val="0"/>
          <w:szCs w:val="24"/>
          <w:rtl/>
        </w:rPr>
        <w:t xml:space="preserve">, </w:t>
      </w:r>
      <w:r w:rsidRPr="00DA1DDC">
        <w:rPr>
          <w:rFonts w:hint="eastAsia"/>
          <w:b w:val="0"/>
          <w:bCs w:val="0"/>
          <w:szCs w:val="24"/>
          <w:rtl/>
        </w:rPr>
        <w:t>המיוצר</w:t>
      </w:r>
      <w:r w:rsidRPr="00DA1DDC">
        <w:rPr>
          <w:b w:val="0"/>
          <w:bCs w:val="0"/>
          <w:szCs w:val="24"/>
          <w:rtl/>
        </w:rPr>
        <w:t xml:space="preserve"> </w:t>
      </w:r>
      <w:r w:rsidRPr="00DA1DDC">
        <w:rPr>
          <w:rFonts w:hint="eastAsia"/>
          <w:b w:val="0"/>
          <w:bCs w:val="0"/>
          <w:szCs w:val="24"/>
          <w:rtl/>
        </w:rPr>
        <w:t>משמן</w:t>
      </w:r>
      <w:r w:rsidRPr="00DA1DDC">
        <w:rPr>
          <w:b w:val="0"/>
          <w:bCs w:val="0"/>
          <w:szCs w:val="24"/>
          <w:rtl/>
        </w:rPr>
        <w:t xml:space="preserve"> </w:t>
      </w:r>
      <w:r w:rsidRPr="00DA1DDC">
        <w:rPr>
          <w:rFonts w:hint="eastAsia"/>
          <w:b w:val="0"/>
          <w:bCs w:val="0"/>
          <w:szCs w:val="24"/>
          <w:rtl/>
        </w:rPr>
        <w:t>צמחי</w:t>
      </w:r>
      <w:r w:rsidRPr="00DA1DDC">
        <w:rPr>
          <w:b w:val="0"/>
          <w:bCs w:val="0"/>
          <w:szCs w:val="24"/>
          <w:rtl/>
        </w:rPr>
        <w:t xml:space="preserve"> </w:t>
      </w:r>
      <w:r w:rsidRPr="00DA1DDC">
        <w:rPr>
          <w:rFonts w:hint="eastAsia"/>
          <w:b w:val="0"/>
          <w:bCs w:val="0"/>
          <w:szCs w:val="24"/>
          <w:rtl/>
        </w:rPr>
        <w:t>משומש</w:t>
      </w:r>
      <w:r w:rsidRPr="00DA1DDC">
        <w:rPr>
          <w:b w:val="0"/>
          <w:bCs w:val="0"/>
          <w:szCs w:val="24"/>
          <w:rtl/>
        </w:rPr>
        <w:t xml:space="preserve"> </w:t>
      </w:r>
      <w:r w:rsidRPr="00DA1DDC">
        <w:rPr>
          <w:rFonts w:hint="eastAsia"/>
          <w:b w:val="0"/>
          <w:bCs w:val="0"/>
          <w:szCs w:val="24"/>
          <w:rtl/>
        </w:rPr>
        <w:t>או</w:t>
      </w:r>
      <w:r w:rsidRPr="00DA1DDC">
        <w:rPr>
          <w:b w:val="0"/>
          <w:bCs w:val="0"/>
          <w:szCs w:val="24"/>
          <w:rtl/>
        </w:rPr>
        <w:t xml:space="preserve"> </w:t>
      </w:r>
      <w:r w:rsidRPr="00DA1DDC">
        <w:rPr>
          <w:rFonts w:hint="eastAsia"/>
          <w:b w:val="0"/>
          <w:bCs w:val="0"/>
          <w:szCs w:val="24"/>
          <w:rtl/>
        </w:rPr>
        <w:t>משומן</w:t>
      </w:r>
      <w:r w:rsidRPr="00DA1DDC">
        <w:rPr>
          <w:b w:val="0"/>
          <w:bCs w:val="0"/>
          <w:szCs w:val="24"/>
          <w:rtl/>
        </w:rPr>
        <w:t xml:space="preserve"> </w:t>
      </w:r>
      <w:r w:rsidRPr="00DA1DDC">
        <w:rPr>
          <w:rFonts w:hint="eastAsia"/>
          <w:b w:val="0"/>
          <w:bCs w:val="0"/>
          <w:szCs w:val="24"/>
          <w:rtl/>
        </w:rPr>
        <w:t>בקר</w:t>
      </w:r>
      <w:r w:rsidRPr="00DA1DDC">
        <w:rPr>
          <w:b w:val="0"/>
          <w:bCs w:val="0"/>
          <w:szCs w:val="24"/>
          <w:rtl/>
        </w:rPr>
        <w:t xml:space="preserve"> </w:t>
      </w:r>
      <w:r w:rsidRPr="00DA1DDC">
        <w:rPr>
          <w:rFonts w:hint="eastAsia"/>
          <w:b w:val="0"/>
          <w:bCs w:val="0"/>
          <w:szCs w:val="24"/>
          <w:rtl/>
        </w:rPr>
        <w:t>הנאספים</w:t>
      </w:r>
      <w:r w:rsidRPr="00DA1DDC">
        <w:rPr>
          <w:b w:val="0"/>
          <w:bCs w:val="0"/>
          <w:szCs w:val="24"/>
          <w:rtl/>
        </w:rPr>
        <w:t xml:space="preserve"> </w:t>
      </w:r>
      <w:r w:rsidRPr="00DA1DDC">
        <w:rPr>
          <w:rFonts w:hint="eastAsia"/>
          <w:b w:val="0"/>
          <w:bCs w:val="0"/>
          <w:szCs w:val="24"/>
          <w:rtl/>
        </w:rPr>
        <w:t>בישראל</w:t>
      </w:r>
      <w:r w:rsidRPr="00DA1DDC">
        <w:rPr>
          <w:b w:val="0"/>
          <w:bCs w:val="0"/>
          <w:szCs w:val="24"/>
          <w:rtl/>
        </w:rPr>
        <w:t xml:space="preserve">, </w:t>
      </w:r>
      <w:r w:rsidRPr="00DA1DDC">
        <w:rPr>
          <w:rFonts w:hint="eastAsia"/>
          <w:b w:val="0"/>
          <w:bCs w:val="0"/>
          <w:szCs w:val="24"/>
          <w:rtl/>
        </w:rPr>
        <w:t>חב</w:t>
      </w:r>
      <w:r w:rsidRPr="00DA1DDC">
        <w:rPr>
          <w:b w:val="0"/>
          <w:bCs w:val="0"/>
          <w:szCs w:val="24"/>
          <w:rtl/>
        </w:rPr>
        <w:t xml:space="preserve"> </w:t>
      </w:r>
      <w:r w:rsidRPr="00DA1DDC">
        <w:rPr>
          <w:rFonts w:hint="eastAsia"/>
          <w:b w:val="0"/>
          <w:bCs w:val="0"/>
          <w:szCs w:val="24"/>
          <w:rtl/>
        </w:rPr>
        <w:t>בבלו</w:t>
      </w:r>
      <w:r w:rsidRPr="00DA1DDC">
        <w:rPr>
          <w:b w:val="0"/>
          <w:bCs w:val="0"/>
          <w:szCs w:val="24"/>
          <w:rtl/>
        </w:rPr>
        <w:t xml:space="preserve"> </w:t>
      </w:r>
      <w:r w:rsidRPr="00DA1DDC">
        <w:rPr>
          <w:rFonts w:hint="eastAsia"/>
          <w:b w:val="0"/>
          <w:bCs w:val="0"/>
          <w:szCs w:val="24"/>
          <w:rtl/>
        </w:rPr>
        <w:t>לפי</w:t>
      </w:r>
      <w:r w:rsidRPr="00DA1DDC">
        <w:rPr>
          <w:b w:val="0"/>
          <w:bCs w:val="0"/>
          <w:szCs w:val="24"/>
          <w:rtl/>
        </w:rPr>
        <w:t xml:space="preserve"> </w:t>
      </w:r>
      <w:r w:rsidRPr="00DA1DDC">
        <w:rPr>
          <w:rFonts w:hint="eastAsia"/>
          <w:b w:val="0"/>
          <w:bCs w:val="0"/>
          <w:szCs w:val="24"/>
          <w:rtl/>
        </w:rPr>
        <w:t>צו</w:t>
      </w:r>
      <w:r w:rsidRPr="00DA1DDC">
        <w:rPr>
          <w:b w:val="0"/>
          <w:bCs w:val="0"/>
          <w:szCs w:val="24"/>
          <w:rtl/>
        </w:rPr>
        <w:t xml:space="preserve"> </w:t>
      </w:r>
      <w:r w:rsidRPr="00DA1DDC">
        <w:rPr>
          <w:rFonts w:hint="eastAsia"/>
          <w:b w:val="0"/>
          <w:bCs w:val="0"/>
          <w:szCs w:val="24"/>
          <w:rtl/>
        </w:rPr>
        <w:t>הבלו</w:t>
      </w:r>
      <w:r w:rsidRPr="00DA1DDC">
        <w:rPr>
          <w:b w:val="0"/>
          <w:bCs w:val="0"/>
          <w:szCs w:val="24"/>
          <w:rtl/>
        </w:rPr>
        <w:t xml:space="preserve"> </w:t>
      </w:r>
      <w:r w:rsidRPr="00DA1DDC">
        <w:rPr>
          <w:rFonts w:hint="eastAsia"/>
          <w:b w:val="0"/>
          <w:bCs w:val="0"/>
          <w:szCs w:val="24"/>
          <w:rtl/>
        </w:rPr>
        <w:t>על</w:t>
      </w:r>
      <w:r w:rsidRPr="00DA1DDC">
        <w:rPr>
          <w:b w:val="0"/>
          <w:bCs w:val="0"/>
          <w:szCs w:val="24"/>
          <w:rtl/>
        </w:rPr>
        <w:t xml:space="preserve"> </w:t>
      </w:r>
      <w:r w:rsidRPr="00DA1DDC">
        <w:rPr>
          <w:rFonts w:hint="eastAsia"/>
          <w:b w:val="0"/>
          <w:bCs w:val="0"/>
          <w:szCs w:val="24"/>
          <w:rtl/>
        </w:rPr>
        <w:t>דלק</w:t>
      </w:r>
      <w:r w:rsidRPr="00DA1DDC">
        <w:rPr>
          <w:b w:val="0"/>
          <w:bCs w:val="0"/>
          <w:szCs w:val="24"/>
          <w:rtl/>
        </w:rPr>
        <w:t xml:space="preserve"> (הטלת </w:t>
      </w:r>
      <w:r w:rsidRPr="00DA1DDC">
        <w:rPr>
          <w:rFonts w:hint="eastAsia"/>
          <w:b w:val="0"/>
          <w:bCs w:val="0"/>
          <w:szCs w:val="24"/>
          <w:rtl/>
        </w:rPr>
        <w:t>בלו</w:t>
      </w:r>
      <w:r w:rsidRPr="00DA1DDC">
        <w:rPr>
          <w:b w:val="0"/>
          <w:bCs w:val="0"/>
          <w:szCs w:val="24"/>
          <w:rtl/>
        </w:rPr>
        <w:t xml:space="preserve">) </w:t>
      </w:r>
      <w:r w:rsidRPr="00DA1DDC">
        <w:rPr>
          <w:rFonts w:hint="eastAsia"/>
          <w:b w:val="0"/>
          <w:bCs w:val="0"/>
          <w:szCs w:val="24"/>
          <w:rtl/>
        </w:rPr>
        <w:t>תשס</w:t>
      </w:r>
      <w:r w:rsidRPr="00DA1DDC">
        <w:rPr>
          <w:b w:val="0"/>
          <w:bCs w:val="0"/>
          <w:szCs w:val="24"/>
          <w:rtl/>
        </w:rPr>
        <w:t xml:space="preserve">"ד </w:t>
      </w:r>
      <w:r w:rsidRPr="00DA1DDC">
        <w:rPr>
          <w:rFonts w:hint="eastAsia"/>
          <w:b w:val="0"/>
          <w:bCs w:val="0"/>
          <w:szCs w:val="24"/>
          <w:rtl/>
        </w:rPr>
        <w:t>–</w:t>
      </w:r>
      <w:r w:rsidRPr="00DA1DDC">
        <w:rPr>
          <w:b w:val="0"/>
          <w:bCs w:val="0"/>
          <w:szCs w:val="24"/>
          <w:rtl/>
        </w:rPr>
        <w:t xml:space="preserve"> 2004, </w:t>
      </w:r>
      <w:r w:rsidRPr="00DA1DDC">
        <w:rPr>
          <w:rFonts w:hint="eastAsia"/>
          <w:b w:val="0"/>
          <w:bCs w:val="0"/>
          <w:szCs w:val="24"/>
          <w:rtl/>
        </w:rPr>
        <w:t>בשיעורים</w:t>
      </w:r>
      <w:r w:rsidRPr="00DA1DDC">
        <w:rPr>
          <w:b w:val="0"/>
          <w:bCs w:val="0"/>
          <w:szCs w:val="24"/>
          <w:rtl/>
        </w:rPr>
        <w:t xml:space="preserve"> </w:t>
      </w:r>
      <w:r w:rsidRPr="00DA1DDC">
        <w:rPr>
          <w:rFonts w:hint="eastAsia"/>
          <w:b w:val="0"/>
          <w:bCs w:val="0"/>
          <w:szCs w:val="24"/>
          <w:rtl/>
        </w:rPr>
        <w:t>הבאים</w:t>
      </w:r>
      <w:r w:rsidRPr="00DA1DDC">
        <w:rPr>
          <w:b w:val="0"/>
          <w:bCs w:val="0"/>
          <w:szCs w:val="24"/>
          <w:rtl/>
        </w:rPr>
        <w:t xml:space="preserve"> (טבלה </w:t>
      </w:r>
      <w:r w:rsidRPr="00DA1DDC">
        <w:rPr>
          <w:rFonts w:hint="eastAsia"/>
          <w:b w:val="0"/>
          <w:bCs w:val="0"/>
          <w:szCs w:val="24"/>
          <w:rtl/>
        </w:rPr>
        <w:t>זו</w:t>
      </w:r>
      <w:r w:rsidRPr="00DA1DDC">
        <w:rPr>
          <w:b w:val="0"/>
          <w:bCs w:val="0"/>
          <w:szCs w:val="24"/>
          <w:rtl/>
        </w:rPr>
        <w:t xml:space="preserve"> </w:t>
      </w:r>
      <w:r w:rsidRPr="00DA1DDC">
        <w:rPr>
          <w:rFonts w:hint="eastAsia"/>
          <w:b w:val="0"/>
          <w:bCs w:val="0"/>
          <w:szCs w:val="24"/>
          <w:rtl/>
        </w:rPr>
        <w:t>הינה</w:t>
      </w:r>
      <w:r w:rsidRPr="00DA1DDC">
        <w:rPr>
          <w:b w:val="0"/>
          <w:bCs w:val="0"/>
          <w:szCs w:val="24"/>
          <w:rtl/>
        </w:rPr>
        <w:t xml:space="preserve"> </w:t>
      </w:r>
      <w:r w:rsidRPr="00DA1DDC">
        <w:rPr>
          <w:rFonts w:hint="eastAsia"/>
          <w:b w:val="0"/>
          <w:bCs w:val="0"/>
          <w:szCs w:val="24"/>
          <w:rtl/>
        </w:rPr>
        <w:t>למיטב</w:t>
      </w:r>
      <w:r w:rsidRPr="00DA1DDC">
        <w:rPr>
          <w:b w:val="0"/>
          <w:bCs w:val="0"/>
          <w:szCs w:val="24"/>
          <w:rtl/>
        </w:rPr>
        <w:t xml:space="preserve"> </w:t>
      </w:r>
      <w:r w:rsidRPr="00DA1DDC">
        <w:rPr>
          <w:rFonts w:hint="eastAsia"/>
          <w:b w:val="0"/>
          <w:bCs w:val="0"/>
          <w:szCs w:val="24"/>
          <w:rtl/>
        </w:rPr>
        <w:t>ידיעת</w:t>
      </w:r>
      <w:r w:rsidRPr="00DA1DDC">
        <w:rPr>
          <w:b w:val="0"/>
          <w:bCs w:val="0"/>
          <w:szCs w:val="24"/>
          <w:rtl/>
        </w:rPr>
        <w:t xml:space="preserve"> </w:t>
      </w:r>
      <w:r w:rsidRPr="00DA1DDC">
        <w:rPr>
          <w:rFonts w:hint="eastAsia"/>
          <w:b w:val="0"/>
          <w:bCs w:val="0"/>
          <w:szCs w:val="24"/>
          <w:rtl/>
        </w:rPr>
        <w:t>המשרד</w:t>
      </w:r>
      <w:r w:rsidRPr="00DA1DDC">
        <w:rPr>
          <w:b w:val="0"/>
          <w:bCs w:val="0"/>
          <w:szCs w:val="24"/>
          <w:rtl/>
        </w:rPr>
        <w:t xml:space="preserve"> </w:t>
      </w:r>
      <w:r w:rsidRPr="00DA1DDC">
        <w:rPr>
          <w:rFonts w:hint="eastAsia"/>
          <w:b w:val="0"/>
          <w:bCs w:val="0"/>
          <w:szCs w:val="24"/>
          <w:rtl/>
        </w:rPr>
        <w:t>במועד</w:t>
      </w:r>
      <w:r w:rsidRPr="00DA1DDC">
        <w:rPr>
          <w:b w:val="0"/>
          <w:bCs w:val="0"/>
          <w:szCs w:val="24"/>
          <w:rtl/>
        </w:rPr>
        <w:t xml:space="preserve"> </w:t>
      </w:r>
      <w:r w:rsidRPr="00DA1DDC">
        <w:rPr>
          <w:rFonts w:hint="eastAsia"/>
          <w:b w:val="0"/>
          <w:bCs w:val="0"/>
          <w:szCs w:val="24"/>
          <w:rtl/>
        </w:rPr>
        <w:t>פרסום</w:t>
      </w:r>
      <w:r w:rsidRPr="00DA1DDC">
        <w:rPr>
          <w:b w:val="0"/>
          <w:bCs w:val="0"/>
          <w:szCs w:val="24"/>
          <w:rtl/>
        </w:rPr>
        <w:t xml:space="preserve"> </w:t>
      </w:r>
      <w:r w:rsidRPr="00DA1DDC">
        <w:rPr>
          <w:rFonts w:hint="eastAsia"/>
          <w:b w:val="0"/>
          <w:bCs w:val="0"/>
          <w:szCs w:val="24"/>
          <w:rtl/>
        </w:rPr>
        <w:t>הקול</w:t>
      </w:r>
      <w:r w:rsidRPr="00DA1DDC">
        <w:rPr>
          <w:b w:val="0"/>
          <w:bCs w:val="0"/>
          <w:szCs w:val="24"/>
          <w:rtl/>
        </w:rPr>
        <w:t xml:space="preserve"> </w:t>
      </w:r>
      <w:r w:rsidRPr="00DA1DDC">
        <w:rPr>
          <w:rFonts w:hint="eastAsia"/>
          <w:b w:val="0"/>
          <w:bCs w:val="0"/>
          <w:szCs w:val="24"/>
          <w:rtl/>
        </w:rPr>
        <w:t>קורא</w:t>
      </w:r>
      <w:r w:rsidRPr="00DA1DDC">
        <w:rPr>
          <w:b w:val="0"/>
          <w:bCs w:val="0"/>
          <w:szCs w:val="24"/>
          <w:rtl/>
        </w:rPr>
        <w:t xml:space="preserve">, </w:t>
      </w:r>
      <w:r w:rsidRPr="00DA1DDC">
        <w:rPr>
          <w:rFonts w:hint="eastAsia"/>
          <w:b w:val="0"/>
          <w:bCs w:val="0"/>
          <w:szCs w:val="24"/>
          <w:rtl/>
        </w:rPr>
        <w:t>ואינה</w:t>
      </w:r>
      <w:r w:rsidRPr="00DA1DDC">
        <w:rPr>
          <w:b w:val="0"/>
          <w:bCs w:val="0"/>
          <w:szCs w:val="24"/>
          <w:rtl/>
        </w:rPr>
        <w:t xml:space="preserve"> מחייב</w:t>
      </w:r>
      <w:r w:rsidRPr="00DA1DDC">
        <w:rPr>
          <w:rFonts w:hint="eastAsia"/>
          <w:b w:val="0"/>
          <w:bCs w:val="0"/>
          <w:szCs w:val="24"/>
          <w:rtl/>
        </w:rPr>
        <w:t>ת</w:t>
      </w:r>
      <w:r w:rsidRPr="00DA1DDC">
        <w:rPr>
          <w:b w:val="0"/>
          <w:bCs w:val="0"/>
          <w:szCs w:val="24"/>
          <w:rtl/>
        </w:rPr>
        <w:t xml:space="preserve">. המידע </w:t>
      </w:r>
      <w:r w:rsidRPr="00DA1DDC">
        <w:rPr>
          <w:rFonts w:hint="eastAsia"/>
          <w:b w:val="0"/>
          <w:bCs w:val="0"/>
          <w:szCs w:val="24"/>
          <w:rtl/>
        </w:rPr>
        <w:t>המדויק</w:t>
      </w:r>
      <w:r w:rsidRPr="00DA1DDC">
        <w:rPr>
          <w:b w:val="0"/>
          <w:bCs w:val="0"/>
          <w:szCs w:val="24"/>
          <w:rtl/>
        </w:rPr>
        <w:t xml:space="preserve"> הוא זה המפורסם ברשומות. כמו כן, טבלה זו נכונה ליום פרסומה, כאשר הנתונים בה מתעדכנים בהתאם להצמדות הקבועות בחוק) </w:t>
      </w:r>
    </w:p>
    <w:p w14:paraId="4986DA1C" w14:textId="77777777" w:rsidR="004F653F" w:rsidRPr="00C719B7" w:rsidRDefault="004F653F" w:rsidP="008E080B">
      <w:pPr>
        <w:tabs>
          <w:tab w:val="left" w:pos="8312"/>
        </w:tabs>
        <w:spacing w:line="360" w:lineRule="auto"/>
        <w:jc w:val="both"/>
        <w:rPr>
          <w:b/>
          <w:bCs/>
          <w:sz w:val="22"/>
          <w:szCs w:val="22"/>
          <w:u w:val="single"/>
          <w:rtl/>
        </w:rPr>
      </w:pPr>
      <w:r w:rsidRPr="00C719B7">
        <w:rPr>
          <w:rFonts w:hint="cs"/>
          <w:b/>
          <w:bCs/>
          <w:sz w:val="22"/>
          <w:szCs w:val="22"/>
          <w:u w:val="single"/>
          <w:rtl/>
        </w:rPr>
        <w:t>כללי</w:t>
      </w:r>
    </w:p>
    <w:p w14:paraId="3FE4CF7C" w14:textId="77777777" w:rsidR="00C719B7" w:rsidRPr="00C719B7" w:rsidRDefault="00C719B7" w:rsidP="00C719B7">
      <w:pPr>
        <w:tabs>
          <w:tab w:val="left" w:pos="8312"/>
        </w:tabs>
        <w:spacing w:line="360" w:lineRule="auto"/>
        <w:jc w:val="both"/>
        <w:rPr>
          <w:szCs w:val="24"/>
          <w:rtl/>
        </w:rPr>
      </w:pPr>
      <w:r w:rsidRPr="00C719B7">
        <w:rPr>
          <w:rFonts w:hint="cs"/>
          <w:szCs w:val="24"/>
          <w:rtl/>
        </w:rPr>
        <w:t>תקופת ההתקשרות בין המשרד לבין הספק תהיה ל-12 חודשים ממועד כניסתו לתוקף של ההסכם. למשרד בלבד שמורה הזכות להאריך את ההתקשות לתקופות נוספות ובלבד שסך תקופת ההסכם לא תעלה על 4 שנים.</w:t>
      </w:r>
    </w:p>
    <w:p w14:paraId="0E13DE83" w14:textId="77777777" w:rsidR="00C719B7" w:rsidRPr="00C719B7" w:rsidRDefault="00C719B7" w:rsidP="008E080B">
      <w:pPr>
        <w:tabs>
          <w:tab w:val="left" w:pos="8312"/>
        </w:tabs>
        <w:spacing w:line="360" w:lineRule="auto"/>
        <w:jc w:val="both"/>
        <w:rPr>
          <w:sz w:val="22"/>
          <w:szCs w:val="22"/>
          <w:u w:val="single"/>
          <w:rtl/>
        </w:rPr>
      </w:pPr>
      <w:bookmarkStart w:id="1" w:name="_GoBack"/>
      <w:bookmarkEnd w:id="1"/>
    </w:p>
    <w:p w14:paraId="4986DA1F" w14:textId="2177BDF1" w:rsidR="004F653F" w:rsidRPr="00C719B7" w:rsidRDefault="004F653F" w:rsidP="00440131">
      <w:pPr>
        <w:spacing w:line="360" w:lineRule="auto"/>
        <w:contextualSpacing/>
        <w:jc w:val="both"/>
        <w:rPr>
          <w:szCs w:val="24"/>
        </w:rPr>
      </w:pPr>
      <w:r w:rsidRPr="00C719B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C719B7">
        <w:rPr>
          <w:rFonts w:hint="cs"/>
          <w:szCs w:val="24"/>
          <w:rtl/>
        </w:rPr>
        <w:t xml:space="preserve">התשתיות הלאומיות, </w:t>
      </w:r>
      <w:r w:rsidRPr="00C719B7">
        <w:rPr>
          <w:rFonts w:hint="cs"/>
          <w:szCs w:val="24"/>
          <w:rtl/>
        </w:rPr>
        <w:t xml:space="preserve">האנרגיה והמים שכתובתו </w:t>
      </w:r>
      <w:hyperlink r:id="rId12" w:history="1">
        <w:r w:rsidRPr="00C719B7">
          <w:rPr>
            <w:rStyle w:val="Hyperlink"/>
            <w:color w:val="auto"/>
            <w:szCs w:val="24"/>
          </w:rPr>
          <w:t>www.energy.gov.il</w:t>
        </w:r>
      </w:hyperlink>
      <w:r w:rsidRPr="00C719B7">
        <w:rPr>
          <w:szCs w:val="24"/>
        </w:rPr>
        <w:t xml:space="preserve"> </w:t>
      </w:r>
      <w:r w:rsidRPr="00C719B7">
        <w:rPr>
          <w:rFonts w:hint="cs"/>
          <w:szCs w:val="24"/>
          <w:rtl/>
        </w:rPr>
        <w:t>.</w:t>
      </w:r>
    </w:p>
    <w:p w14:paraId="6DC0AE02" w14:textId="77777777" w:rsidR="00441626" w:rsidRPr="00DA1DDC" w:rsidRDefault="00441626" w:rsidP="00441626">
      <w:pPr>
        <w:spacing w:line="360" w:lineRule="auto"/>
        <w:jc w:val="both"/>
        <w:rPr>
          <w:color w:val="FF0000"/>
          <w:szCs w:val="24"/>
          <w:rtl/>
        </w:rPr>
      </w:pPr>
    </w:p>
    <w:p w14:paraId="4986DA21" w14:textId="5436DC79" w:rsidR="004F653F" w:rsidRPr="00EF321A" w:rsidRDefault="004F653F" w:rsidP="00EF321A">
      <w:pPr>
        <w:spacing w:line="360" w:lineRule="auto"/>
        <w:jc w:val="both"/>
        <w:rPr>
          <w:b/>
          <w:bCs/>
          <w:szCs w:val="24"/>
          <w:u w:val="single"/>
          <w:rtl/>
        </w:rPr>
      </w:pPr>
      <w:r w:rsidRPr="00EF321A">
        <w:rPr>
          <w:rFonts w:hint="cs"/>
          <w:szCs w:val="24"/>
          <w:rtl/>
        </w:rPr>
        <w:lastRenderedPageBreak/>
        <w:t>את מעטפת המכרז יש להכניס לתיבת המכרזים, הנמצאת במשרד</w:t>
      </w:r>
      <w:r w:rsidR="00662138" w:rsidRPr="00EF321A">
        <w:rPr>
          <w:rFonts w:hint="cs"/>
          <w:szCs w:val="24"/>
          <w:rtl/>
        </w:rPr>
        <w:t xml:space="preserve"> </w:t>
      </w:r>
      <w:r w:rsidRPr="00EF321A">
        <w:rPr>
          <w:rFonts w:hint="cs"/>
          <w:szCs w:val="24"/>
          <w:rtl/>
        </w:rPr>
        <w:t xml:space="preserve">האנרגיה, רח' יפו 216, ירושלים, בקומה 7 (במסדרון ליד </w:t>
      </w:r>
      <w:r w:rsidR="009C7B5F" w:rsidRPr="00EF321A">
        <w:rPr>
          <w:rFonts w:hint="cs"/>
          <w:szCs w:val="24"/>
          <w:rtl/>
        </w:rPr>
        <w:t xml:space="preserve">עמדת </w:t>
      </w:r>
      <w:r w:rsidR="00AC710D" w:rsidRPr="00EF321A">
        <w:rPr>
          <w:rFonts w:hint="cs"/>
          <w:szCs w:val="24"/>
          <w:rtl/>
        </w:rPr>
        <w:t>המאבטח</w:t>
      </w:r>
      <w:r w:rsidRPr="00EF321A">
        <w:rPr>
          <w:rFonts w:hint="cs"/>
          <w:szCs w:val="24"/>
          <w:rtl/>
        </w:rPr>
        <w:t xml:space="preserve">) לא יאוחר מיום  </w:t>
      </w:r>
      <w:r w:rsidR="00EF321A" w:rsidRPr="00EF321A">
        <w:rPr>
          <w:rFonts w:hint="cs"/>
          <w:b/>
          <w:bCs/>
          <w:szCs w:val="24"/>
          <w:u w:val="single"/>
          <w:rtl/>
        </w:rPr>
        <w:t>6</w:t>
      </w:r>
      <w:r w:rsidR="00331556" w:rsidRPr="00EF321A">
        <w:rPr>
          <w:rFonts w:hint="cs"/>
          <w:b/>
          <w:bCs/>
          <w:szCs w:val="24"/>
          <w:u w:val="single"/>
          <w:rtl/>
        </w:rPr>
        <w:t>.11.17</w:t>
      </w:r>
      <w:r w:rsidR="002F6FA5" w:rsidRPr="00EF321A">
        <w:rPr>
          <w:rFonts w:hint="cs"/>
          <w:b/>
          <w:bCs/>
          <w:szCs w:val="24"/>
          <w:u w:val="single"/>
          <w:rtl/>
        </w:rPr>
        <w:t xml:space="preserve"> </w:t>
      </w:r>
      <w:r w:rsidRPr="00EF321A">
        <w:rPr>
          <w:rFonts w:hint="cs"/>
          <w:b/>
          <w:bCs/>
          <w:szCs w:val="24"/>
          <w:u w:val="single"/>
          <w:rtl/>
        </w:rPr>
        <w:t>בשעה 14:00.</w:t>
      </w:r>
    </w:p>
    <w:p w14:paraId="4986DA22" w14:textId="77777777" w:rsidR="004F653F" w:rsidRPr="00EF321A" w:rsidRDefault="004F653F" w:rsidP="008E080B">
      <w:pPr>
        <w:spacing w:line="360" w:lineRule="auto"/>
        <w:ind w:left="-1"/>
        <w:jc w:val="both"/>
        <w:rPr>
          <w:szCs w:val="24"/>
          <w:rtl/>
        </w:rPr>
      </w:pPr>
      <w:r w:rsidRPr="00EF321A">
        <w:rPr>
          <w:rFonts w:hint="cs"/>
          <w:szCs w:val="24"/>
          <w:rtl/>
        </w:rPr>
        <w:t>אם המציע מחליט לשלוח את המעטפה באמצעות שליח (לרבות חברת דואר ישראל), עליו להכניסה לתוך מעטפה שניי</w:t>
      </w:r>
      <w:r w:rsidRPr="00EF321A">
        <w:rPr>
          <w:rFonts w:hint="eastAsia"/>
          <w:szCs w:val="24"/>
          <w:rtl/>
        </w:rPr>
        <w:t>ה</w:t>
      </w:r>
      <w:r w:rsidRPr="00EF321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EF321A" w:rsidRDefault="004F653F" w:rsidP="00AC710D">
      <w:pPr>
        <w:spacing w:line="360" w:lineRule="auto"/>
        <w:jc w:val="both"/>
        <w:rPr>
          <w:szCs w:val="24"/>
        </w:rPr>
      </w:pPr>
    </w:p>
    <w:p w14:paraId="4986DA24" w14:textId="77777777" w:rsidR="004F653F" w:rsidRPr="00EF321A" w:rsidRDefault="004F653F" w:rsidP="00AC710D">
      <w:pPr>
        <w:spacing w:line="360" w:lineRule="auto"/>
        <w:jc w:val="both"/>
        <w:rPr>
          <w:szCs w:val="24"/>
        </w:rPr>
      </w:pPr>
      <w:r w:rsidRPr="00EF321A">
        <w:rPr>
          <w:rFonts w:hint="cs"/>
          <w:b/>
          <w:bCs/>
          <w:szCs w:val="24"/>
          <w:rtl/>
        </w:rPr>
        <w:t>בכל מקרה של סתירה בין האמור בהודעה זו לאמור במסמכי המכרז יגבר האמור במסמכי המכרז.</w:t>
      </w:r>
    </w:p>
    <w:p w14:paraId="4986DA29" w14:textId="77777777" w:rsidR="004F653F" w:rsidRPr="00EF321A" w:rsidRDefault="004F653F" w:rsidP="00D77542">
      <w:pPr>
        <w:spacing w:line="360" w:lineRule="auto"/>
        <w:jc w:val="both"/>
        <w:rPr>
          <w:szCs w:val="24"/>
          <w:rtl/>
        </w:rPr>
      </w:pPr>
      <w:r w:rsidRPr="00EF321A">
        <w:rPr>
          <w:rFonts w:hint="cs"/>
          <w:b/>
          <w:bCs/>
          <w:szCs w:val="24"/>
          <w:u w:val="single"/>
          <w:rtl/>
        </w:rPr>
        <w:t>שאלות והבהרות</w:t>
      </w:r>
    </w:p>
    <w:p w14:paraId="4986DA2A" w14:textId="25D45C17" w:rsidR="004F653F" w:rsidRPr="00EF321A" w:rsidRDefault="004F653F" w:rsidP="00EF321A">
      <w:pPr>
        <w:tabs>
          <w:tab w:val="left" w:pos="8617"/>
        </w:tabs>
        <w:spacing w:line="360" w:lineRule="auto"/>
        <w:ind w:left="-1"/>
        <w:jc w:val="both"/>
        <w:rPr>
          <w:szCs w:val="24"/>
          <w:rtl/>
        </w:rPr>
      </w:pPr>
      <w:r w:rsidRPr="00EF321A">
        <w:rPr>
          <w:rFonts w:hint="cs"/>
          <w:szCs w:val="24"/>
          <w:rtl/>
        </w:rPr>
        <w:t xml:space="preserve">המועד האחרון להפניה של שאלות והבהרות הינו </w:t>
      </w:r>
      <w:r w:rsidR="00331556" w:rsidRPr="00EF321A">
        <w:rPr>
          <w:rFonts w:hint="cs"/>
          <w:b/>
          <w:bCs/>
          <w:szCs w:val="24"/>
          <w:u w:val="single"/>
          <w:rtl/>
        </w:rPr>
        <w:t>15.10.17</w:t>
      </w:r>
      <w:r w:rsidR="00962B1E" w:rsidRPr="00EF321A">
        <w:rPr>
          <w:rFonts w:hint="cs"/>
          <w:b/>
          <w:bCs/>
          <w:szCs w:val="24"/>
          <w:u w:val="single"/>
          <w:rtl/>
        </w:rPr>
        <w:t xml:space="preserve">7 </w:t>
      </w:r>
      <w:r w:rsidRPr="00EF321A">
        <w:rPr>
          <w:rFonts w:hint="cs"/>
          <w:b/>
          <w:bCs/>
          <w:szCs w:val="24"/>
          <w:u w:val="single"/>
          <w:rtl/>
        </w:rPr>
        <w:t xml:space="preserve">בשעה </w:t>
      </w:r>
      <w:r w:rsidR="00EF321A">
        <w:rPr>
          <w:rFonts w:hint="cs"/>
          <w:b/>
          <w:bCs/>
          <w:szCs w:val="24"/>
          <w:u w:val="single"/>
          <w:rtl/>
        </w:rPr>
        <w:t>14</w:t>
      </w:r>
      <w:r w:rsidRPr="00EF321A">
        <w:rPr>
          <w:rFonts w:hint="cs"/>
          <w:b/>
          <w:bCs/>
          <w:szCs w:val="24"/>
          <w:u w:val="single"/>
          <w:rtl/>
        </w:rPr>
        <w:t>:00</w:t>
      </w:r>
      <w:r w:rsidRPr="00EF321A">
        <w:rPr>
          <w:rFonts w:hint="cs"/>
          <w:szCs w:val="24"/>
          <w:rtl/>
        </w:rPr>
        <w:t xml:space="preserve"> לגב' אילנה טמסוט בדואר אלקטרוני שכתובתו:</w:t>
      </w:r>
      <w:hyperlink r:id="rId13" w:history="1">
        <w:r w:rsidRPr="00EF321A">
          <w:rPr>
            <w:rStyle w:val="Hyperlink"/>
            <w:color w:val="auto"/>
            <w:szCs w:val="24"/>
          </w:rPr>
          <w:t>itamsut@energy.gov.il</w:t>
        </w:r>
      </w:hyperlink>
      <w:r w:rsidRPr="00EF321A">
        <w:rPr>
          <w:szCs w:val="24"/>
        </w:rPr>
        <w:t xml:space="preserve"> </w:t>
      </w:r>
      <w:r w:rsidRPr="00EF321A">
        <w:rPr>
          <w:rFonts w:hint="cs"/>
          <w:szCs w:val="24"/>
          <w:rtl/>
        </w:rPr>
        <w:t>, המשרד לא ישיב שאלות שיגיעו לאחר מועד אחרון זה.</w:t>
      </w:r>
    </w:p>
    <w:p w14:paraId="4986DA2B" w14:textId="0430DCA7" w:rsidR="004F653F" w:rsidRPr="00EF321A" w:rsidRDefault="004F653F" w:rsidP="00EF321A">
      <w:pPr>
        <w:tabs>
          <w:tab w:val="left" w:pos="9355"/>
        </w:tabs>
        <w:spacing w:line="360" w:lineRule="auto"/>
        <w:ind w:left="-1"/>
        <w:jc w:val="both"/>
        <w:rPr>
          <w:szCs w:val="24"/>
          <w:rtl/>
        </w:rPr>
      </w:pPr>
      <w:r w:rsidRPr="00EF321A">
        <w:rPr>
          <w:rFonts w:hint="cs"/>
          <w:szCs w:val="24"/>
          <w:rtl/>
        </w:rPr>
        <w:t xml:space="preserve">ריכוז השאלות והתשובות יפורסמו באתר הרכש הממשלתי ובאתר האינטרנט של המשרד החל מיום </w:t>
      </w:r>
      <w:r w:rsidR="00EF321A" w:rsidRPr="00EF321A">
        <w:rPr>
          <w:rFonts w:hint="cs"/>
          <w:b/>
          <w:bCs/>
          <w:szCs w:val="24"/>
          <w:u w:val="single"/>
          <w:rtl/>
        </w:rPr>
        <w:t xml:space="preserve">25.10.17 </w:t>
      </w:r>
      <w:r w:rsidRPr="00EF321A">
        <w:rPr>
          <w:rFonts w:hint="cs"/>
          <w:szCs w:val="24"/>
          <w:rtl/>
        </w:rPr>
        <w:t>והן יהוו חלק בלתי נפרד ממסמכי המכרז ויחייבו את כל המציעים.</w:t>
      </w:r>
    </w:p>
    <w:p w14:paraId="4986DA2C" w14:textId="77777777" w:rsidR="004F653F" w:rsidRPr="00EF321A" w:rsidRDefault="004F653F" w:rsidP="00D77542">
      <w:pPr>
        <w:tabs>
          <w:tab w:val="left" w:pos="9355"/>
        </w:tabs>
        <w:spacing w:line="360" w:lineRule="auto"/>
        <w:jc w:val="both"/>
        <w:rPr>
          <w:szCs w:val="24"/>
          <w:rtl/>
        </w:rPr>
      </w:pPr>
      <w:r w:rsidRPr="00EF321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EF321A" w:rsidRDefault="00331556" w:rsidP="00D77542">
      <w:pPr>
        <w:tabs>
          <w:tab w:val="left" w:pos="6469"/>
          <w:tab w:val="center" w:pos="7178"/>
        </w:tabs>
        <w:spacing w:line="360" w:lineRule="auto"/>
        <w:jc w:val="right"/>
        <w:rPr>
          <w:szCs w:val="24"/>
          <w:rtl/>
        </w:rPr>
      </w:pPr>
    </w:p>
    <w:p w14:paraId="4986DA30" w14:textId="77777777" w:rsidR="004A3F25" w:rsidRPr="00EF321A" w:rsidRDefault="00A364F7" w:rsidP="00D77542">
      <w:pPr>
        <w:tabs>
          <w:tab w:val="left" w:pos="6469"/>
          <w:tab w:val="center" w:pos="7178"/>
        </w:tabs>
        <w:spacing w:line="360" w:lineRule="auto"/>
        <w:jc w:val="right"/>
        <w:rPr>
          <w:szCs w:val="24"/>
          <w:rtl/>
        </w:rPr>
      </w:pPr>
      <w:r w:rsidRPr="00EF321A">
        <w:rPr>
          <w:szCs w:val="24"/>
          <w:rtl/>
        </w:rPr>
        <w:t>בברכה,</w:t>
      </w:r>
      <w:r w:rsidR="007F6C9A" w:rsidRPr="00EF321A">
        <w:rPr>
          <w:szCs w:val="24"/>
        </w:rPr>
        <w:t xml:space="preserve"> </w:t>
      </w:r>
    </w:p>
    <w:p w14:paraId="1CDAD723" w14:textId="530C08C5" w:rsidR="00DA69EB" w:rsidRPr="00EF321A" w:rsidRDefault="00A364F7" w:rsidP="00E91E3C">
      <w:pPr>
        <w:tabs>
          <w:tab w:val="left" w:pos="6469"/>
          <w:tab w:val="center" w:pos="7178"/>
        </w:tabs>
        <w:jc w:val="right"/>
        <w:rPr>
          <w:szCs w:val="24"/>
        </w:rPr>
      </w:pPr>
      <w:r w:rsidRPr="00EF321A">
        <w:rPr>
          <w:rFonts w:hint="cs"/>
          <w:szCs w:val="24"/>
          <w:rtl/>
        </w:rPr>
        <w:t xml:space="preserve">  </w:t>
      </w:r>
      <w:r w:rsidRPr="00EF321A">
        <w:rPr>
          <w:szCs w:val="24"/>
          <w:rtl/>
        </w:rPr>
        <w:t>ועדת המכרזים</w:t>
      </w:r>
    </w:p>
    <w:p w14:paraId="71CDAA53" w14:textId="77777777" w:rsidR="008F6257" w:rsidRPr="00EF321A" w:rsidRDefault="008F6257">
      <w:pPr>
        <w:tabs>
          <w:tab w:val="left" w:pos="6469"/>
          <w:tab w:val="center" w:pos="7178"/>
        </w:tabs>
        <w:jc w:val="right"/>
        <w:rPr>
          <w:szCs w:val="24"/>
        </w:rPr>
      </w:pPr>
    </w:p>
    <w:sectPr w:rsidR="008F6257" w:rsidRPr="00EF321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A1DDC" w:rsidRPr="00DA1DD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77C6F"/>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913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58/2017 החזרים תלויי ביודיזל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08:01;12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255</CounterString>
    <LastLockUser xmlns="8f5b83e0-a1d3-486c-bd07-833a425c74af" xsi:nil="true"/>
    <LastCheckOutDate xmlns="8f5b83e0-a1d3-486c-bd07-833a425c74af">07/09/2017 08:01;21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 ds:uri="http://purl.org/dc/terms/"/>
    <ds:schemaRef ds:uri="8f5b83e0-a1d3-486c-bd07-833a425c74af"/>
    <ds:schemaRef ds:uri="http://schemas.microsoft.com/office/2006/documentManagement/types"/>
    <ds:schemaRef ds:uri="http://www.w3.org/XML/1998/namespace"/>
    <ds:schemaRef ds:uri="http://schemas.microsoft.com/office/infopath/2007/PartnerControls"/>
    <ds:schemaRef ds:uri="http://purl.org/dc/elements/1.1/"/>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D45ACC2-F1EA-40AC-85DC-05C3BDAC8B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353</Words>
  <Characters>1769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2017-09-07T05:49:00Z</cp:lastPrinted>
  <dcterms:created xsi:type="dcterms:W3CDTF">2017-09-07T06:14:00Z</dcterms:created>
  <dcterms:modified xsi:type="dcterms:W3CDTF">2017-09-07T06:14:00Z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